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E193" w14:textId="277C9A29" w:rsidR="009A0E24" w:rsidRPr="009A0E24" w:rsidRDefault="00DA2364" w:rsidP="009A0E2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9A0E24" w:rsidRPr="009A0E24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fldChar w:fldCharType="begin"/>
      </w:r>
      <w:r w:rsidR="00E11BDC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instrText xml:space="preserve"> INCLUDEPICTURE "C:\\var\\folders\\j6\\bfcyxsv979gbn61ffpgh9m380000gn\\T\\com.microsoft.Word\\WebArchiveCopyPasteTempFiles\\page1image27281440" \* MERGEFORMAT </w:instrText>
      </w:r>
      <w:r w:rsidR="009A0E24" w:rsidRPr="009A0E24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fldChar w:fldCharType="separate"/>
      </w:r>
      <w:r w:rsidR="009A0E24" w:rsidRPr="009A0E2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GB"/>
        </w:rPr>
        <w:drawing>
          <wp:inline distT="0" distB="0" distL="0" distR="0" wp14:anchorId="55981C63" wp14:editId="3906B9CC">
            <wp:extent cx="1729105" cy="624840"/>
            <wp:effectExtent l="0" t="0" r="0" b="0"/>
            <wp:docPr id="1" name="Picture 1" descr="page1image2728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281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E24" w:rsidRPr="009A0E24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fldChar w:fldCharType="end"/>
      </w:r>
    </w:p>
    <w:p w14:paraId="5FB4EBE3" w14:textId="762B958C" w:rsidR="006B07AB" w:rsidRDefault="006B07AB">
      <w:pPr>
        <w:tabs>
          <w:tab w:val="center" w:pos="779"/>
        </w:tabs>
        <w:spacing w:line="259" w:lineRule="auto"/>
      </w:pPr>
    </w:p>
    <w:tbl>
      <w:tblPr>
        <w:tblStyle w:val="TableGrid"/>
        <w:tblW w:w="9662" w:type="dxa"/>
        <w:tblInd w:w="120" w:type="dxa"/>
        <w:tblCellMar>
          <w:top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6B07AB" w14:paraId="7F95745B" w14:textId="77777777">
        <w:trPr>
          <w:trHeight w:val="638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57C2" w14:textId="77777777" w:rsidR="006B07AB" w:rsidRDefault="00DA2364">
            <w:pPr>
              <w:spacing w:line="259" w:lineRule="auto"/>
              <w:ind w:left="118"/>
              <w:jc w:val="center"/>
            </w:pPr>
            <w:r>
              <w:rPr>
                <w:b/>
                <w:color w:val="000000"/>
                <w:sz w:val="32"/>
              </w:rPr>
              <w:t xml:space="preserve">TOURNAMENT REFEREE REPORT </w:t>
            </w:r>
          </w:p>
        </w:tc>
      </w:tr>
      <w:tr w:rsidR="006B07AB" w14:paraId="4A73E7DE" w14:textId="77777777">
        <w:trPr>
          <w:trHeight w:val="1901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C0D2" w14:textId="77777777" w:rsidR="006B07AB" w:rsidRDefault="00DA2364">
            <w:pPr>
              <w:spacing w:after="94" w:line="259" w:lineRule="auto"/>
              <w:ind w:left="108"/>
            </w:pPr>
            <w:r>
              <w:rPr>
                <w:b/>
                <w:color w:val="000000"/>
                <w:sz w:val="28"/>
              </w:rPr>
              <w:t xml:space="preserve">REPORT DATE: </w:t>
            </w:r>
            <w:r>
              <w:rPr>
                <w:color w:val="000000"/>
                <w:sz w:val="28"/>
              </w:rPr>
              <w:t xml:space="preserve"> </w:t>
            </w:r>
          </w:p>
          <w:p w14:paraId="75FAF235" w14:textId="77777777" w:rsidR="006B07AB" w:rsidRDefault="00DA2364">
            <w:pPr>
              <w:spacing w:after="94" w:line="259" w:lineRule="auto"/>
              <w:ind w:left="110"/>
            </w:pPr>
            <w:r>
              <w:rPr>
                <w:b/>
                <w:color w:val="000000"/>
                <w:sz w:val="28"/>
              </w:rPr>
              <w:t xml:space="preserve">EVENT DATE: </w:t>
            </w:r>
            <w:r>
              <w:rPr>
                <w:color w:val="000000"/>
                <w:sz w:val="28"/>
              </w:rPr>
              <w:t xml:space="preserve"> </w:t>
            </w:r>
          </w:p>
          <w:p w14:paraId="372AC4C1" w14:textId="77777777" w:rsidR="006B07AB" w:rsidRDefault="00DA2364">
            <w:pPr>
              <w:spacing w:after="96" w:line="259" w:lineRule="auto"/>
              <w:ind w:left="110"/>
            </w:pPr>
            <w:r>
              <w:rPr>
                <w:b/>
                <w:color w:val="000000"/>
                <w:sz w:val="28"/>
              </w:rPr>
              <w:t xml:space="preserve">EVENT NAME &amp; No: </w:t>
            </w:r>
            <w:r>
              <w:rPr>
                <w:color w:val="000000"/>
                <w:sz w:val="28"/>
              </w:rPr>
              <w:t xml:space="preserve"> </w:t>
            </w:r>
          </w:p>
          <w:p w14:paraId="7ECAF05C" w14:textId="77777777" w:rsidR="006B07AB" w:rsidRDefault="00DA2364">
            <w:pPr>
              <w:spacing w:line="259" w:lineRule="auto"/>
              <w:ind w:left="110"/>
            </w:pPr>
            <w:r>
              <w:rPr>
                <w:b/>
                <w:color w:val="000000"/>
                <w:sz w:val="28"/>
              </w:rPr>
              <w:t>LOCATION(S):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B07AB" w14:paraId="47614C0B" w14:textId="77777777">
        <w:trPr>
          <w:trHeight w:val="3398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F98" w14:textId="77777777" w:rsidR="006B07AB" w:rsidRDefault="00DA2364">
            <w:pPr>
              <w:spacing w:after="113" w:line="259" w:lineRule="auto"/>
              <w:ind w:left="108"/>
            </w:pPr>
            <w:r>
              <w:rPr>
                <w:b/>
                <w:color w:val="000000"/>
                <w:sz w:val="28"/>
              </w:rPr>
              <w:t xml:space="preserve">TOURNAMENT REFEREE:  </w:t>
            </w:r>
          </w:p>
          <w:p w14:paraId="31646327" w14:textId="77777777" w:rsidR="006B07AB" w:rsidRDefault="00DA2364">
            <w:pPr>
              <w:spacing w:after="108" w:line="259" w:lineRule="auto"/>
              <w:ind w:left="110"/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DEPUTY TR: </w:t>
            </w:r>
            <w:r>
              <w:rPr>
                <w:color w:val="000000"/>
                <w:sz w:val="28"/>
              </w:rPr>
              <w:t xml:space="preserve">  </w:t>
            </w:r>
          </w:p>
          <w:p w14:paraId="733CAF73" w14:textId="77777777" w:rsidR="006B07AB" w:rsidRDefault="00DA2364">
            <w:pPr>
              <w:spacing w:line="259" w:lineRule="auto"/>
              <w:ind w:left="108"/>
            </w:pPr>
            <w:r>
              <w:rPr>
                <w:b/>
                <w:color w:val="000000"/>
                <w:sz w:val="28"/>
              </w:rPr>
              <w:t xml:space="preserve">AUTHORIZED REFEREES: </w:t>
            </w:r>
          </w:p>
          <w:p w14:paraId="7A23B846" w14:textId="77777777" w:rsidR="006B07AB" w:rsidRDefault="00DA2364">
            <w:pPr>
              <w:spacing w:line="259" w:lineRule="auto"/>
              <w:ind w:left="108"/>
            </w:pPr>
            <w:r>
              <w:rPr>
                <w:i/>
                <w:color w:val="000000"/>
                <w:sz w:val="24"/>
              </w:rPr>
              <w:t xml:space="preserve">Use this space to provide referee names &amp; detail of their authorization. </w:t>
            </w:r>
          </w:p>
        </w:tc>
      </w:tr>
      <w:tr w:rsidR="006B07AB" w14:paraId="3A9EC7DA" w14:textId="77777777">
        <w:trPr>
          <w:trHeight w:val="1958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A26" w14:textId="77777777" w:rsidR="006B07AB" w:rsidRDefault="00DA2364">
            <w:pPr>
              <w:spacing w:line="259" w:lineRule="auto"/>
              <w:ind w:left="108"/>
            </w:pPr>
            <w:r>
              <w:rPr>
                <w:b/>
                <w:color w:val="000000"/>
                <w:sz w:val="28"/>
              </w:rPr>
              <w:t xml:space="preserve">REFEREE AVAILABILITY &amp; SCHEDULE </w:t>
            </w:r>
          </w:p>
          <w:p w14:paraId="282550F0" w14:textId="77777777" w:rsidR="006B07AB" w:rsidRDefault="00DA2364">
            <w:pPr>
              <w:spacing w:line="259" w:lineRule="auto"/>
              <w:ind w:left="110"/>
            </w:pPr>
            <w:r>
              <w:rPr>
                <w:i/>
                <w:color w:val="000000"/>
                <w:sz w:val="24"/>
              </w:rPr>
              <w:t xml:space="preserve">Use this space to note days on which each referee officiated. </w:t>
            </w:r>
          </w:p>
        </w:tc>
      </w:tr>
      <w:tr w:rsidR="006B07AB" w14:paraId="01DC0A61" w14:textId="77777777">
        <w:trPr>
          <w:trHeight w:val="1776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6AA" w14:textId="77777777" w:rsidR="006B07AB" w:rsidRDefault="00DA2364">
            <w:pPr>
              <w:spacing w:line="259" w:lineRule="auto"/>
              <w:ind w:left="108"/>
            </w:pPr>
            <w:r>
              <w:rPr>
                <w:b/>
                <w:color w:val="000000"/>
                <w:sz w:val="28"/>
              </w:rPr>
              <w:t xml:space="preserve">REFEREE FUNDING &amp; REMUNERATIONS </w:t>
            </w:r>
          </w:p>
          <w:p w14:paraId="73836B1B" w14:textId="3BF76733" w:rsidR="006B07AB" w:rsidRDefault="00DA2364">
            <w:pPr>
              <w:spacing w:after="96" w:line="259" w:lineRule="auto"/>
              <w:ind w:left="108"/>
            </w:pPr>
            <w:r>
              <w:rPr>
                <w:i/>
                <w:color w:val="000000"/>
                <w:sz w:val="24"/>
              </w:rPr>
              <w:t xml:space="preserve">Details of any remuneration or expenses claimed by </w:t>
            </w:r>
            <w:r w:rsidR="00B200C6">
              <w:rPr>
                <w:i/>
                <w:color w:val="000000"/>
                <w:sz w:val="24"/>
              </w:rPr>
              <w:t>Referees or</w:t>
            </w:r>
            <w:r>
              <w:rPr>
                <w:i/>
                <w:color w:val="000000"/>
                <w:sz w:val="24"/>
              </w:rPr>
              <w:t xml:space="preserve"> provided by the host club. </w:t>
            </w:r>
          </w:p>
          <w:p w14:paraId="13B0D4AF" w14:textId="77777777" w:rsidR="006B07AB" w:rsidRDefault="00DA2364">
            <w:pPr>
              <w:spacing w:line="259" w:lineRule="auto"/>
              <w:ind w:left="11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B07AB" w14:paraId="46CF2854" w14:textId="77777777">
        <w:trPr>
          <w:trHeight w:val="3485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E5AE" w14:textId="77777777" w:rsidR="006B07AB" w:rsidRDefault="00DA2364">
            <w:pPr>
              <w:spacing w:line="259" w:lineRule="auto"/>
              <w:ind w:left="108"/>
            </w:pPr>
            <w:r>
              <w:rPr>
                <w:b/>
                <w:color w:val="000000"/>
                <w:sz w:val="28"/>
              </w:rPr>
              <w:lastRenderedPageBreak/>
              <w:t xml:space="preserve">COURT SET-UP </w:t>
            </w:r>
          </w:p>
          <w:p w14:paraId="5F263820" w14:textId="78ABA338" w:rsidR="006B07AB" w:rsidRDefault="00DA2364">
            <w:pPr>
              <w:spacing w:after="96" w:line="259" w:lineRule="auto"/>
              <w:ind w:left="108"/>
            </w:pPr>
            <w:r>
              <w:rPr>
                <w:i/>
                <w:color w:val="000000"/>
                <w:sz w:val="24"/>
              </w:rPr>
              <w:t xml:space="preserve">Enter details of Courts </w:t>
            </w:r>
            <w:r w:rsidR="00B200C6">
              <w:rPr>
                <w:i/>
                <w:color w:val="000000"/>
                <w:sz w:val="24"/>
              </w:rPr>
              <w:t>E.g.,</w:t>
            </w:r>
            <w:r>
              <w:rPr>
                <w:i/>
                <w:color w:val="000000"/>
                <w:sz w:val="24"/>
              </w:rPr>
              <w:t xml:space="preserve"> hoop type/setting tolerance/availability of auxiliary hoop-setters. </w:t>
            </w:r>
          </w:p>
          <w:p w14:paraId="58441464" w14:textId="77777777" w:rsidR="006B07AB" w:rsidRDefault="00DA2364">
            <w:pPr>
              <w:spacing w:line="259" w:lineRule="auto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144AFCDA" w14:textId="77777777" w:rsidR="006B07AB" w:rsidRDefault="00DA2364">
      <w:pPr>
        <w:tabs>
          <w:tab w:val="center" w:pos="779"/>
        </w:tabs>
        <w:spacing w:line="259" w:lineRule="auto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noProof/>
        </w:rPr>
        <w:drawing>
          <wp:inline distT="0" distB="0" distL="0" distR="0" wp14:anchorId="16ED43DA" wp14:editId="597B57B6">
            <wp:extent cx="1485900" cy="563880"/>
            <wp:effectExtent l="0" t="0" r="0" b="762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10" cy="57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66" w:type="dxa"/>
        <w:tblInd w:w="-147" w:type="dxa"/>
        <w:tblCellMar>
          <w:top w:w="1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66"/>
      </w:tblGrid>
      <w:tr w:rsidR="006B07AB" w14:paraId="0A8EF98C" w14:textId="77777777" w:rsidTr="00331D29">
        <w:trPr>
          <w:trHeight w:val="2126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4F9" w14:textId="77777777" w:rsidR="006B07AB" w:rsidRDefault="00DA2364">
            <w:pPr>
              <w:spacing w:line="259" w:lineRule="auto"/>
            </w:pPr>
            <w:r>
              <w:rPr>
                <w:b/>
                <w:color w:val="000000"/>
                <w:sz w:val="28"/>
              </w:rPr>
              <w:t xml:space="preserve">COURT CONDITIONS </w:t>
            </w:r>
          </w:p>
          <w:p w14:paraId="09728CC4" w14:textId="77777777" w:rsidR="006B07AB" w:rsidRDefault="00DA2364">
            <w:pPr>
              <w:spacing w:line="259" w:lineRule="auto"/>
            </w:pPr>
            <w:r>
              <w:rPr>
                <w:i/>
                <w:color w:val="000000"/>
                <w:sz w:val="24"/>
              </w:rPr>
              <w:t xml:space="preserve">Detail Court Inspection, speed and condition.  </w:t>
            </w:r>
          </w:p>
        </w:tc>
      </w:tr>
      <w:tr w:rsidR="006B07AB" w14:paraId="75134266" w14:textId="77777777" w:rsidTr="00331D29">
        <w:trPr>
          <w:trHeight w:val="2131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2822" w14:textId="77777777" w:rsidR="006B07AB" w:rsidRDefault="00DA2364">
            <w:pPr>
              <w:spacing w:line="259" w:lineRule="auto"/>
            </w:pPr>
            <w:r>
              <w:rPr>
                <w:b/>
                <w:color w:val="000000"/>
                <w:sz w:val="28"/>
              </w:rPr>
              <w:t xml:space="preserve">LOCAL RULING </w:t>
            </w:r>
          </w:p>
          <w:p w14:paraId="15F863A4" w14:textId="77777777" w:rsidR="006B07AB" w:rsidRDefault="00DA2364">
            <w:pPr>
              <w:spacing w:line="259" w:lineRule="auto"/>
            </w:pPr>
            <w:r>
              <w:rPr>
                <w:i/>
                <w:color w:val="000000"/>
                <w:sz w:val="24"/>
              </w:rPr>
              <w:t xml:space="preserve">Details of any Local Rulings </w:t>
            </w:r>
          </w:p>
        </w:tc>
      </w:tr>
      <w:tr w:rsidR="006B07AB" w14:paraId="34DC8DB6" w14:textId="77777777" w:rsidTr="006326FB">
        <w:trPr>
          <w:trHeight w:val="2413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2941" w14:textId="77777777" w:rsidR="006B07AB" w:rsidRDefault="00DA2364">
            <w:pPr>
              <w:spacing w:line="259" w:lineRule="auto"/>
            </w:pPr>
            <w:r>
              <w:rPr>
                <w:b/>
                <w:color w:val="000000"/>
                <w:sz w:val="28"/>
              </w:rPr>
              <w:t xml:space="preserve">DOUBLE BANKED GAMES </w:t>
            </w:r>
          </w:p>
          <w:p w14:paraId="05269987" w14:textId="77777777" w:rsidR="006B07AB" w:rsidRDefault="00DA2364">
            <w:pPr>
              <w:spacing w:line="259" w:lineRule="auto"/>
            </w:pPr>
            <w:r>
              <w:rPr>
                <w:i/>
                <w:color w:val="000000"/>
                <w:sz w:val="24"/>
              </w:rPr>
              <w:t>GC - Detail how Double banked games were handled. (AC as per 7</w:t>
            </w:r>
            <w:r>
              <w:rPr>
                <w:i/>
                <w:color w:val="000000"/>
                <w:sz w:val="24"/>
                <w:vertAlign w:val="superscript"/>
              </w:rPr>
              <w:t>th</w:t>
            </w:r>
            <w:r>
              <w:rPr>
                <w:i/>
                <w:color w:val="000000"/>
                <w:sz w:val="24"/>
              </w:rPr>
              <w:t xml:space="preserve"> Edition Laws) </w:t>
            </w:r>
          </w:p>
        </w:tc>
      </w:tr>
      <w:tr w:rsidR="006B07AB" w14:paraId="0148C794" w14:textId="77777777" w:rsidTr="00331D29">
        <w:trPr>
          <w:trHeight w:val="4123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4567" w14:textId="2D2E92BF" w:rsidR="006B07AB" w:rsidRDefault="00DA2364">
            <w:pPr>
              <w:spacing w:line="259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 xml:space="preserve">ISSUES REQUIRING FURTHER ACTION </w:t>
            </w:r>
          </w:p>
          <w:p w14:paraId="6EC069D3" w14:textId="17BA801D" w:rsidR="00F957BA" w:rsidRDefault="00F957BA">
            <w:pPr>
              <w:spacing w:line="259" w:lineRule="auto"/>
              <w:rPr>
                <w:bCs/>
                <w:color w:val="000000"/>
                <w:sz w:val="28"/>
                <w:u w:val="single"/>
              </w:rPr>
            </w:pPr>
            <w:r w:rsidRPr="00F957BA">
              <w:rPr>
                <w:bCs/>
                <w:color w:val="000000"/>
                <w:sz w:val="28"/>
              </w:rPr>
              <w:t xml:space="preserve"> </w:t>
            </w:r>
            <w:r w:rsidR="007E2C84" w:rsidRPr="007E2C84">
              <w:rPr>
                <w:b/>
                <w:color w:val="000000"/>
                <w:sz w:val="28"/>
              </w:rPr>
              <w:t>D</w:t>
            </w:r>
            <w:r w:rsidRPr="007E2C84">
              <w:rPr>
                <w:b/>
                <w:color w:val="000000"/>
                <w:sz w:val="28"/>
              </w:rPr>
              <w:t>o</w:t>
            </w:r>
            <w:r w:rsidRPr="00EF3887">
              <w:rPr>
                <w:b/>
                <w:color w:val="000000"/>
                <w:sz w:val="28"/>
              </w:rPr>
              <w:t xml:space="preserve"> not</w:t>
            </w:r>
            <w:r w:rsidRPr="00F957BA">
              <w:rPr>
                <w:bCs/>
                <w:color w:val="000000"/>
                <w:sz w:val="28"/>
              </w:rPr>
              <w:t xml:space="preserve"> </w:t>
            </w:r>
            <w:r w:rsidRPr="00724F92">
              <w:rPr>
                <w:b/>
                <w:color w:val="000000"/>
                <w:sz w:val="28"/>
              </w:rPr>
              <w:t xml:space="preserve">place member’s names in this </w:t>
            </w:r>
            <w:r w:rsidR="007E2C84" w:rsidRPr="00724F92">
              <w:rPr>
                <w:b/>
                <w:color w:val="000000"/>
                <w:sz w:val="28"/>
              </w:rPr>
              <w:t>report</w:t>
            </w:r>
            <w:r w:rsidR="007E2C84">
              <w:rPr>
                <w:bCs/>
                <w:color w:val="000000"/>
                <w:sz w:val="28"/>
              </w:rPr>
              <w:t>. If</w:t>
            </w:r>
            <w:r>
              <w:rPr>
                <w:bCs/>
                <w:color w:val="000000"/>
                <w:sz w:val="28"/>
              </w:rPr>
              <w:t xml:space="preserve"> a </w:t>
            </w:r>
            <w:r w:rsidR="0015373D">
              <w:rPr>
                <w:bCs/>
                <w:color w:val="000000"/>
                <w:sz w:val="28"/>
              </w:rPr>
              <w:t>r</w:t>
            </w:r>
            <w:r>
              <w:rPr>
                <w:bCs/>
                <w:color w:val="000000"/>
                <w:sz w:val="28"/>
              </w:rPr>
              <w:t xml:space="preserve">eferee </w:t>
            </w:r>
            <w:r w:rsidR="0015373D">
              <w:rPr>
                <w:bCs/>
                <w:color w:val="000000"/>
                <w:sz w:val="28"/>
              </w:rPr>
              <w:t xml:space="preserve">has to talk </w:t>
            </w:r>
            <w:r>
              <w:rPr>
                <w:bCs/>
                <w:color w:val="000000"/>
                <w:sz w:val="28"/>
              </w:rPr>
              <w:t xml:space="preserve">to </w:t>
            </w:r>
            <w:r w:rsidR="0015373D">
              <w:rPr>
                <w:bCs/>
                <w:color w:val="000000"/>
                <w:sz w:val="28"/>
              </w:rPr>
              <w:t>a</w:t>
            </w:r>
            <w:r>
              <w:rPr>
                <w:bCs/>
                <w:color w:val="000000"/>
                <w:sz w:val="28"/>
              </w:rPr>
              <w:t xml:space="preserve"> player/s </w:t>
            </w:r>
            <w:r w:rsidR="0015373D">
              <w:rPr>
                <w:bCs/>
                <w:color w:val="000000"/>
                <w:sz w:val="28"/>
              </w:rPr>
              <w:t xml:space="preserve">during an event </w:t>
            </w:r>
            <w:r>
              <w:rPr>
                <w:bCs/>
                <w:color w:val="000000"/>
                <w:sz w:val="28"/>
              </w:rPr>
              <w:t xml:space="preserve">and ask them to moderate their language or </w:t>
            </w:r>
            <w:r w:rsidR="0015373D">
              <w:rPr>
                <w:bCs/>
                <w:color w:val="000000"/>
                <w:sz w:val="28"/>
              </w:rPr>
              <w:t>behaviour and the behaviour continues there are sanctions able to be imposed</w:t>
            </w:r>
            <w:r>
              <w:rPr>
                <w:bCs/>
                <w:color w:val="000000"/>
                <w:sz w:val="28"/>
              </w:rPr>
              <w:t xml:space="preserve">. If the player </w:t>
            </w:r>
            <w:r w:rsidR="0015373D">
              <w:rPr>
                <w:bCs/>
                <w:color w:val="000000"/>
                <w:sz w:val="28"/>
              </w:rPr>
              <w:t xml:space="preserve">does not comply with the referees’ directions, then they </w:t>
            </w:r>
            <w:r w:rsidRPr="00F957BA">
              <w:rPr>
                <w:b/>
                <w:color w:val="000000"/>
                <w:sz w:val="28"/>
              </w:rPr>
              <w:t xml:space="preserve">must </w:t>
            </w:r>
            <w:r>
              <w:rPr>
                <w:bCs/>
                <w:color w:val="000000"/>
                <w:sz w:val="28"/>
              </w:rPr>
              <w:t xml:space="preserve">be informed that this will be escalated to the </w:t>
            </w:r>
            <w:r w:rsidR="0015373D">
              <w:rPr>
                <w:bCs/>
                <w:color w:val="000000"/>
                <w:sz w:val="28"/>
              </w:rPr>
              <w:t xml:space="preserve">Member Protection Information Officer </w:t>
            </w:r>
            <w:r w:rsidR="007E2C84">
              <w:rPr>
                <w:bCs/>
                <w:color w:val="000000"/>
                <w:sz w:val="28"/>
              </w:rPr>
              <w:t xml:space="preserve">at  </w:t>
            </w:r>
            <w:hyperlink r:id="rId6" w:history="1">
              <w:r w:rsidR="007E2C84" w:rsidRPr="000939EA">
                <w:rPr>
                  <w:rStyle w:val="Hyperlink"/>
                  <w:bCs/>
                  <w:sz w:val="28"/>
                </w:rPr>
                <w:t>mpio@croquetqld.org</w:t>
              </w:r>
            </w:hyperlink>
            <w:r w:rsidR="007E2C84">
              <w:rPr>
                <w:bCs/>
                <w:color w:val="000000"/>
                <w:sz w:val="28"/>
              </w:rPr>
              <w:t xml:space="preserve"> </w:t>
            </w:r>
            <w:r w:rsidR="00A003DA">
              <w:rPr>
                <w:bCs/>
                <w:color w:val="000000"/>
                <w:sz w:val="28"/>
              </w:rPr>
              <w:t xml:space="preserve">for further action </w:t>
            </w:r>
            <w:r w:rsidR="007E2C84">
              <w:rPr>
                <w:bCs/>
                <w:color w:val="000000"/>
                <w:sz w:val="28"/>
              </w:rPr>
              <w:t xml:space="preserve">by using the Breach of Code of Conduct template </w:t>
            </w:r>
            <w:r w:rsidR="000939EA">
              <w:rPr>
                <w:bCs/>
                <w:color w:val="000000"/>
                <w:sz w:val="28"/>
              </w:rPr>
              <w:t>available on the CAQ website</w:t>
            </w:r>
            <w:r w:rsidR="00A003DA">
              <w:rPr>
                <w:bCs/>
                <w:color w:val="000000"/>
                <w:sz w:val="28"/>
              </w:rPr>
              <w:t>.</w:t>
            </w:r>
            <w:r w:rsidR="0015373D">
              <w:rPr>
                <w:bCs/>
                <w:color w:val="000000"/>
                <w:sz w:val="28"/>
              </w:rPr>
              <w:t xml:space="preserve"> </w:t>
            </w:r>
          </w:p>
          <w:p w14:paraId="718F3246" w14:textId="77777777" w:rsidR="0015373D" w:rsidRDefault="0015373D">
            <w:pPr>
              <w:spacing w:line="259" w:lineRule="auto"/>
              <w:rPr>
                <w:bCs/>
                <w:color w:val="000000"/>
                <w:sz w:val="28"/>
              </w:rPr>
            </w:pPr>
          </w:p>
          <w:p w14:paraId="16F86B59" w14:textId="77777777" w:rsidR="00F957BA" w:rsidRPr="00F957BA" w:rsidRDefault="00F957BA">
            <w:pPr>
              <w:spacing w:line="259" w:lineRule="auto"/>
              <w:rPr>
                <w:bCs/>
              </w:rPr>
            </w:pPr>
          </w:p>
          <w:p w14:paraId="086550C7" w14:textId="6BA19C71" w:rsidR="006B07AB" w:rsidRDefault="006B07AB">
            <w:pPr>
              <w:spacing w:line="259" w:lineRule="auto"/>
            </w:pPr>
          </w:p>
          <w:p w14:paraId="31D89B77" w14:textId="77777777" w:rsidR="006B07AB" w:rsidRDefault="00DA2364">
            <w:pPr>
              <w:spacing w:line="259" w:lineRule="auto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  <w:p w14:paraId="5DD0EE68" w14:textId="77777777" w:rsidR="006B07AB" w:rsidRDefault="00DA2364">
            <w:pPr>
              <w:spacing w:line="259" w:lineRule="auto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  <w:p w14:paraId="3357053E" w14:textId="77777777" w:rsidR="006B07AB" w:rsidRDefault="00DA2364">
            <w:pPr>
              <w:spacing w:line="259" w:lineRule="auto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  <w:p w14:paraId="2C70DFDC" w14:textId="31FB9A0E" w:rsidR="006B07AB" w:rsidRDefault="006B07AB">
            <w:pPr>
              <w:spacing w:line="259" w:lineRule="auto"/>
            </w:pPr>
          </w:p>
        </w:tc>
      </w:tr>
      <w:tr w:rsidR="006B07AB" w14:paraId="2F68322B" w14:textId="77777777" w:rsidTr="00624EE2">
        <w:trPr>
          <w:trHeight w:val="5400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2545" w14:textId="77777777" w:rsidR="006B07AB" w:rsidRDefault="00DA2364">
            <w:pPr>
              <w:spacing w:line="259" w:lineRule="auto"/>
            </w:pPr>
            <w:r>
              <w:rPr>
                <w:b/>
                <w:color w:val="000000"/>
                <w:sz w:val="28"/>
              </w:rPr>
              <w:t xml:space="preserve">RECOMMENDATIONS </w:t>
            </w:r>
          </w:p>
          <w:p w14:paraId="6EA72E02" w14:textId="77777777" w:rsidR="006B07AB" w:rsidRDefault="00DA2364" w:rsidP="00331D29">
            <w:pPr>
              <w:spacing w:after="96" w:line="259" w:lineRule="auto"/>
              <w:ind w:left="2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Suggest any possible improvements to officiating this event.</w:t>
            </w:r>
            <w:r>
              <w:rPr>
                <w:color w:val="000000"/>
                <w:sz w:val="24"/>
              </w:rPr>
              <w:t xml:space="preserve"> </w:t>
            </w:r>
          </w:p>
          <w:p w14:paraId="24AB8084" w14:textId="77777777" w:rsidR="006326FB" w:rsidRDefault="006326FB" w:rsidP="00331D29">
            <w:pPr>
              <w:spacing w:after="96" w:line="259" w:lineRule="auto"/>
              <w:ind w:left="2"/>
            </w:pPr>
          </w:p>
          <w:p w14:paraId="31DD4AEB" w14:textId="77777777" w:rsidR="008908DA" w:rsidRDefault="008908DA" w:rsidP="00331D29">
            <w:pPr>
              <w:spacing w:after="96" w:line="259" w:lineRule="auto"/>
              <w:ind w:left="2"/>
            </w:pPr>
          </w:p>
          <w:p w14:paraId="56420087" w14:textId="77777777" w:rsidR="008908DA" w:rsidRDefault="008908DA" w:rsidP="00331D29">
            <w:pPr>
              <w:spacing w:after="96" w:line="259" w:lineRule="auto"/>
              <w:ind w:left="2"/>
            </w:pPr>
          </w:p>
          <w:p w14:paraId="53505006" w14:textId="77777777" w:rsidR="008908DA" w:rsidRDefault="008908DA" w:rsidP="00331D29">
            <w:pPr>
              <w:spacing w:after="96" w:line="259" w:lineRule="auto"/>
              <w:ind w:left="2"/>
            </w:pPr>
          </w:p>
          <w:p w14:paraId="5DF049E5" w14:textId="77777777" w:rsidR="008908DA" w:rsidRDefault="008908DA" w:rsidP="00331D29">
            <w:pPr>
              <w:spacing w:after="96" w:line="259" w:lineRule="auto"/>
              <w:ind w:left="2"/>
            </w:pPr>
          </w:p>
          <w:p w14:paraId="19F5D685" w14:textId="77777777" w:rsidR="008908DA" w:rsidRDefault="008908DA" w:rsidP="00331D29">
            <w:pPr>
              <w:spacing w:after="96" w:line="259" w:lineRule="auto"/>
              <w:ind w:left="2"/>
            </w:pPr>
          </w:p>
          <w:p w14:paraId="5C6138B7" w14:textId="77777777" w:rsidR="008908DA" w:rsidRDefault="008908DA" w:rsidP="00331D29">
            <w:pPr>
              <w:spacing w:after="96" w:line="259" w:lineRule="auto"/>
              <w:ind w:left="2"/>
            </w:pPr>
          </w:p>
          <w:p w14:paraId="09D9E0D1" w14:textId="77777777" w:rsidR="008908DA" w:rsidRDefault="008908DA" w:rsidP="00331D29">
            <w:pPr>
              <w:spacing w:after="96" w:line="259" w:lineRule="auto"/>
              <w:ind w:left="2"/>
            </w:pPr>
          </w:p>
          <w:p w14:paraId="3BE0F437" w14:textId="77777777" w:rsidR="008908DA" w:rsidRDefault="008908DA" w:rsidP="00331D29">
            <w:pPr>
              <w:spacing w:after="96" w:line="259" w:lineRule="auto"/>
              <w:ind w:left="2"/>
            </w:pPr>
          </w:p>
          <w:p w14:paraId="38030D74" w14:textId="77777777" w:rsidR="008908DA" w:rsidRDefault="008908DA" w:rsidP="00331D29">
            <w:pPr>
              <w:spacing w:after="96" w:line="259" w:lineRule="auto"/>
              <w:ind w:left="2"/>
            </w:pPr>
          </w:p>
          <w:p w14:paraId="39B15EF2" w14:textId="11E4CCC1" w:rsidR="008908DA" w:rsidRDefault="008908DA" w:rsidP="008908DA">
            <w:r>
              <w:t>Send completed report to: Code coordinator , Events coordinator and CAQ Secretary (and MPIO if necessary</w:t>
            </w:r>
            <w:r w:rsidR="00C14327">
              <w:t>)</w:t>
            </w:r>
          </w:p>
          <w:p w14:paraId="6827DF06" w14:textId="649432D1" w:rsidR="008908DA" w:rsidRDefault="008908DA" w:rsidP="008908DA"/>
          <w:p w14:paraId="7F13A32F" w14:textId="4005C27D" w:rsidR="008908DA" w:rsidRDefault="008908DA" w:rsidP="00331D29">
            <w:pPr>
              <w:spacing w:after="96" w:line="259" w:lineRule="auto"/>
              <w:ind w:left="2"/>
            </w:pPr>
          </w:p>
        </w:tc>
      </w:tr>
    </w:tbl>
    <w:p w14:paraId="40751321" w14:textId="338A68E2" w:rsidR="006B07AB" w:rsidRDefault="0015373D">
      <w:r>
        <w:t xml:space="preserve"> </w:t>
      </w:r>
    </w:p>
    <w:sectPr w:rsidR="006B07AB">
      <w:pgSz w:w="11900" w:h="16840"/>
      <w:pgMar w:top="527" w:right="1407" w:bottom="1251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AB"/>
    <w:rsid w:val="000939EA"/>
    <w:rsid w:val="0015373D"/>
    <w:rsid w:val="00331D29"/>
    <w:rsid w:val="00624EE2"/>
    <w:rsid w:val="006326FB"/>
    <w:rsid w:val="006B07AB"/>
    <w:rsid w:val="00724F92"/>
    <w:rsid w:val="00774CC3"/>
    <w:rsid w:val="007E2C84"/>
    <w:rsid w:val="008908DA"/>
    <w:rsid w:val="009A0E24"/>
    <w:rsid w:val="00A003DA"/>
    <w:rsid w:val="00B200C6"/>
    <w:rsid w:val="00C14327"/>
    <w:rsid w:val="00C65DE2"/>
    <w:rsid w:val="00DA2364"/>
    <w:rsid w:val="00E11BDC"/>
    <w:rsid w:val="00ED034E"/>
    <w:rsid w:val="00EF3887"/>
    <w:rsid w:val="00F57482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5C8B"/>
  <w15:docId w15:val="{5417A746-6351-452C-8BEB-B113D02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9" w:lineRule="auto"/>
    </w:pPr>
    <w:rPr>
      <w:rFonts w:ascii="Calibri" w:eastAsia="Calibri" w:hAnsi="Calibri"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53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7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io@croquetql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Tournament_Referees_Report_Template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Tournament_Referees_Report_Template</dc:title>
  <dc:subject/>
  <dc:creator>Peter Crees</dc:creator>
  <cp:keywords/>
  <cp:lastModifiedBy>Croquet Association Queensland</cp:lastModifiedBy>
  <cp:revision>2</cp:revision>
  <dcterms:created xsi:type="dcterms:W3CDTF">2023-10-04T01:41:00Z</dcterms:created>
  <dcterms:modified xsi:type="dcterms:W3CDTF">2023-10-04T01:41:00Z</dcterms:modified>
</cp:coreProperties>
</file>